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Bahrain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(8000) 4115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March 2015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Jason Rodgers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273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Architects: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Skidmore, Owings &amp; Merrill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Pierre-Yves Rochon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Waldo Fernandez (selected restaurants)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Towering above a lushly landscaped private island, easily accessible via causeway to the Manama's business, commercial and shopping as well as historic and cultural sites and numerous recreational opportunities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Just 15 minutes from Bahrain International Airport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3,485 sq. m. (37,512 sq. ft.)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Pierre-Yves Rochon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17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Product Lines: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CUT by Wolfgang Puck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Steakhouse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On-site Activities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Beach and Pools: 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White Sand Beach </w:t>
      </w:r>
      <w:r>
        <w:rPr>
          <w:rFonts w:ascii="Arial" w:hAnsi="Arial" w:cs="Arial"/>
          <w:sz w:val="21"/>
          <w:szCs w:val="21"/>
        </w:rPr>
        <w:t>(outdoor): 160-metre (525-foot)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For Younger Guests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Fully supervised children's program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Kids' Pool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Meetings and Events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35,222 sq. ft. / 3,272 sq. m.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 (Al Bahrain):</w:t>
      </w:r>
      <w:r>
        <w:rPr>
          <w:rFonts w:ascii="Arial" w:hAnsi="Arial" w:cs="Arial"/>
          <w:sz w:val="21"/>
          <w:szCs w:val="21"/>
        </w:rPr>
        <w:t xml:space="preserve"> 9,935 sq. ft.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/ 923 sq. m.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Second Ballroom(Al Manama):</w:t>
      </w:r>
      <w:r>
        <w:rPr>
          <w:rFonts w:ascii="Arial" w:hAnsi="Arial" w:cs="Arial"/>
          <w:sz w:val="21"/>
          <w:szCs w:val="21"/>
        </w:rPr>
        <w:t xml:space="preserve"> 4,650 sq. ft. / 432 sq. m.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Reception Capacity:</w:t>
      </w:r>
      <w:r>
        <w:rPr>
          <w:rFonts w:ascii="Arial" w:hAnsi="Arial" w:cs="Arial"/>
          <w:sz w:val="21"/>
          <w:szCs w:val="21"/>
        </w:rPr>
        <w:t xml:space="preserve"> 750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550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250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Meeting Rooms:</w:t>
      </w:r>
      <w:r>
        <w:rPr>
          <w:rFonts w:ascii="Arial" w:hAnsi="Arial" w:cs="Arial"/>
          <w:sz w:val="21"/>
          <w:szCs w:val="21"/>
        </w:rPr>
        <w:t xml:space="preserve"> 4 additional meeting rooms plus 2 boardrooms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Facilities: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Enclosed music studio to pipe live music into the ballrooms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Bridal suite including private entrance, photography room, pantry and separate living room and companion suite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Business centre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Tugce Goksel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Public Relations and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P.O.Box 1669, Bahrain Bay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Manama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Bahrain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tugce.goksel@fourseasons.com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+973 1711 5000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