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Palm Beach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(561) 582-2800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February 1994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Mazen Saleh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207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193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14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Reflecting the relaxed yet glamorous resort style of Palm Beach, the elegant coastal home design celebrates the Resort's pristine oceanfront location with a refreshing colour palette focusing on refined, natural colours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 inspired by a laid-back, oceanfront lifestyle captures the timeless class that makes Palm Beach so alluring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Architect: </w:t>
      </w:r>
      <w:r>
        <w:rPr>
          <w:rFonts w:ascii="Arial" w:hAnsi="Arial" w:cs="Arial"/>
          <w:sz w:val="21"/>
          <w:szCs w:val="21"/>
        </w:rPr>
        <w:t>Leo Daly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Interior Designer(s):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Martin Brudnizki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Brian Gluckstein (spa)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Location:·       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on Palm Beach Island’s most beautiful, expansive beach along the Atlantic Ocean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Within short driving distance from Worth Avenue shopping, historical museums and art galleries to downtown West Palm Beach and the equestrian epicentre of Wellington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 chic seaside sanctuary that reflects the glamour of Palm Beach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Brian Gluckstein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Palm Beach Signature Massage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Boca Quench Deluxe Body Treatment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Teens/Children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Children 12-17 who wish to use the Spa's facilities must be accompanied by a parent or guardian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Arcona, Kate Somerville, Skinceuticals Advanced Skincare, Terra Dolce Florida-based spa products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access to the Spa &amp; Salon’s relaxation areas, eucalyptus steam room, saltwater whirlpool and high performance showers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Seagrass Room – a couple's suite featuring a private dual-headed steam shower and luxurious Floridian amenities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Oxygeneo 3-in-1 Super Facial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Examples of Locally Sourced Ingredients: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Home-grown herbs from the Chef's Garden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Locally caught fish including yellowtail snapper, grouper, tilefish, king fish, wahoo, swordfish, cobia, corvina and pompano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Florida spiny lobster and stone crabs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Loxahatchee’s Swank Farms hydroponic greens and herbs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Walter’s Farmhouse hydroponic beefsteak heirloom tomatoes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Localcopia strawberries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Kennesaw Orange Juice Company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Tropical Acres Farm mangos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Locally grown lycee fruit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new signature restaurant to be announced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Globally inspired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beachfront restaurant to be announced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Refined, locally sourced seafood favorites with Floridian influence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68; 12 at the bar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Tennis: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Tennis Courts:</w:t>
      </w:r>
      <w:r>
        <w:rPr>
          <w:rFonts w:ascii="Arial" w:hAnsi="Arial" w:cs="Arial"/>
          <w:sz w:val="21"/>
          <w:szCs w:val="21"/>
        </w:rPr>
        <w:t xml:space="preserve"> 2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Peter Burwash International tennis program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On-site tennis pro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Variety of 60 minute clinics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tennis lessons available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bicycles to ride along Intracoastal Waterway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 activities including volleyball and bocce ball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Jet skis and kayak tours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Surfboards and surfing lessons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14 foot (4 metre) and 16 foot (6 metre) catamarans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Stand up paddle boards, tubes and boogie boards, banana sled, kayaks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snorkel gear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Billiards entertainment room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Beachfront yoga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2, including an adult-only option, both with stunning 180-degree views of the Atlantic Ocean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Mini poolside amenities such as frozen fruit, sunglass cleaning, chilled towels and Evian spritz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Early morning swimming lanes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oceanfront and poolside cabanas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6,000 sq ft / 557 sq m</w:t>
      </w:r>
    </w:p>
    <w:p>
      <w:pPr>
        <w:numPr>
          <w:ilvl w:val="0"/>
          <w:numId w:val="11"/>
        </w:numPr>
        <w:jc w:val="left"/>
        <w:textAlignment w:val="auto"/>
      </w:pP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Daily fitness classes including beachfront yoga, cycle strength and more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Certified master trainers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Intelligent body fitness and yoga packages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training and Skype training available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Golf: </w:t>
      </w:r>
      <w:r>
        <w:rPr>
          <w:rFonts w:ascii="Arial" w:hAnsi="Arial" w:cs="Arial"/>
          <w:sz w:val="21"/>
          <w:szCs w:val="21"/>
        </w:rPr>
        <w:t>Access to Palm Beach's preferred golf courses from public par 3s to members-only championship golf courses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daily Kids For All Seasons program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Teen Room featuring foosball, board games, Xbox and Wii</w:t>
      </w:r>
    </w:p>
    <w:p>
      <w:pPr>
        <w:ind w:left="0"/>
        <w:jc w:val="left"/>
        <w:textAlignment w:val="auto"/>
      </w:pP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Billiards entertainment room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Saturday evening kids program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 eco tours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bicycles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Kids' tennis lessons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Water activities including tubes, boogie boards, banana sled and kayaks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22,012 sq ft / 2,043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6,000 sq ft / 557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380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380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</w:t>
      </w:r>
      <w:r>
        <w:rPr>
          <w:rFonts w:ascii="Arial" w:hAnsi="Arial" w:cs="Arial"/>
          <w:sz w:val="21"/>
          <w:szCs w:val="21"/>
        </w:rPr>
        <w:t xml:space="preserve"> 250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10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16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site Swell boutique, a luxury signature lifestyle and retail boutique with monthly designer trunk shows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24-hour self-service business centre and library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Daily complimentary morning coffee and tea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House car available to transport to and from local attractions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Partnerships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Wellington’s International Polo Club includes packages with exclusive access to season events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Official Host Hotel for the annual Palm Beach Food &amp; Wine Festival, one of the country’s most prestigious and delectable culinary and wine programs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0" cy="6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Michelle Balint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Assistant 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2800 South Ocean Boulevard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Palm Beach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michelle.balint@fourseasons.com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+1 646 413 2271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Laurie Herrick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Regional 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2800 South Ocean Boulevard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Palm Beach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laurie.herrick@fourseasons.com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pn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