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Seattle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(206) 749-7000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November 2008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Sebastian Hinsch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 147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134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13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Residential Units: </w:t>
      </w:r>
      <w:r>
        <w:rPr>
          <w:rFonts w:ascii="Arial" w:hAnsi="Arial" w:cs="Arial"/>
          <w:sz w:val="21"/>
          <w:szCs w:val="21"/>
        </w:rPr>
        <w:t>36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Hotel comprises floors 1 through 10 of a 21-storey building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Residences comprise floors 11 through 21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Clean, modern look with natural hues and Asian-inspired millwork; wood and stone bring the outdoors in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Original works by Pacific Northwest School artists, representing the largest collection of Pacific Northwest artwork outside of a museum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terrace overlooking Elliott Bay and Olympic Mountains features heated infinity-edged pool, fireplace and whirlpool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NBBJ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BraytonHughes Design Studios and NBBJ (Hotel interiors)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Susan Marinello Interiors (residence interiors)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Wimberly Interiors (2019 guest rooms)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cultural core of downtown, across from Seattle Art Museum and next to Pike Place Market, one of America's oldest farmers' markets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 Pacific Northwest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Glass tile and basalt rock evoke the purifying elements of water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Treatments draw on distinctive Northwest elements and the evergreen rainforests of western Washington while utilizing the latest in skin technology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Treatment Rooms: </w:t>
      </w:r>
      <w:r>
        <w:rPr>
          <w:rFonts w:ascii="Arial" w:hAnsi="Arial" w:cs="Arial"/>
          <w:sz w:val="21"/>
          <w:szCs w:val="21"/>
        </w:rPr>
        <w:t>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Interior Designer: </w:t>
      </w:r>
      <w:r>
        <w:rPr>
          <w:rFonts w:ascii="Arial" w:hAnsi="Arial" w:cs="Arial"/>
          <w:sz w:val="21"/>
          <w:szCs w:val="21"/>
        </w:rPr>
        <w:t>BraytonHughes Design Studios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Emerald Massage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Evergreen Facial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Natura Bissé, IS Clinical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Executive Chef: </w:t>
      </w:r>
      <w:r>
        <w:rPr>
          <w:rFonts w:ascii="Arial" w:hAnsi="Arial" w:cs="Arial"/>
          <w:sz w:val="21"/>
          <w:szCs w:val="21"/>
        </w:rPr>
        <w:t>Brian Doherty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Restaurant/Lounge:</w:t>
      </w:r>
      <w:r>
        <w:rPr>
          <w:rFonts w:ascii="Arial" w:hAnsi="Arial" w:cs="Arial"/>
          <w:sz w:val="21"/>
          <w:szCs w:val="21"/>
        </w:rPr>
        <w:t> Goldfinch Tavern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Opening Date:</w:t>
      </w:r>
      <w:r>
        <w:rPr>
          <w:rFonts w:ascii="Arial" w:hAnsi="Arial" w:cs="Arial"/>
          <w:sz w:val="21"/>
          <w:szCs w:val="21"/>
        </w:rPr>
        <w:t xml:space="preserve"> June 2015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> EDG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Consulting Chef: </w:t>
      </w:r>
      <w:r>
        <w:rPr>
          <w:rFonts w:ascii="Arial" w:hAnsi="Arial" w:cs="Arial"/>
          <w:sz w:val="21"/>
          <w:szCs w:val="21"/>
        </w:rPr>
        <w:t>Ethan Stowell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Pastry</w:t>
      </w:r>
      <w:r>
        <w:rPr>
          <w:rFonts w:ascii="Arial" w:hAnsi="Arial" w:cs="Arial"/>
          <w:sz w:val="21"/>
          <w:szCs w:val="21"/>
        </w:rPr>
        <w:t>: Danielle Grogan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Pools: </w:t>
      </w:r>
      <w:r>
        <w:rPr>
          <w:rFonts w:ascii="Arial" w:hAnsi="Arial" w:cs="Arial"/>
          <w:sz w:val="21"/>
          <w:szCs w:val="21"/>
        </w:rPr>
        <w:t>1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INFINITY pool + bar / cabanas, outdoor dining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swimsuits available upon request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1"/>
        </w:numPr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982 sq m / 10,570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459 sq m / 4,490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200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330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16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 Large Ballroom windows offer sweeping views of Elliott Bay and Olympic Mountains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Recycles food and landscape waste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Runs a closed-loop water-heating system that recycles water to produce potable and heated water for residences, Hotel and swimming 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Energy-efficient lighting in meeting and function spaces and where possible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Approximately 70 percent of the energy consumed within the hotel is renewable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Hotel uses Seattle Steam, which uses recycled urban wood waste to power its downtown Seattle facility, which in turn helps the hotel reduce its carbon footprint by 50 percent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Run of Hope Seattle and Pediatric Brain Tumor Research Fund - The Pediatric Brain Tumor Research Fund (PBTRF) is a Seattle Children's Hospital guild dedicated to funding groundbreaking research for curing kids with brain tumours and cancer; ince 2009, Four Seasons Hotel Seattle has raised more than USD 2.3 million for PBTRF through the </w:t>
      </w:r>
      <w:hyperlink r:id="rId18">
        <w:r>
          <w:rPr>
            <w:color w:val="0000ff"/>
            <w:sz w:val="22"/>
          </w:rPr>
          <w:t>Run of Hope Seattle,</w:t>
        </w:r>
      </w:hyperlink>
      <w:r>
        <w:rPr>
          <w:rFonts w:ascii="Arial" w:hAnsi="Arial" w:cs="Arial"/>
          <w:sz w:val="21"/>
          <w:szCs w:val="21"/>
        </w:rPr>
        <w:t xml:space="preserve"> an annual 5k run/walk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Meg Paynor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PR Consultant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 99 Union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Seattle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meg@paynorpr.com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+1 206 913 3848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Crystal Southcote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Digital Media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99 Union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Seattle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crystal.southcote@fourseasons.com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+1 206 749 3909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Mode="External" Target="https://runofhopeseattle.org/" Type="http://schemas.openxmlformats.org/officeDocument/2006/relationships/hyperlink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